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AF190" w14:textId="60E3BE4B" w:rsidR="000739D8" w:rsidRDefault="005238ED" w:rsidP="005238ED">
      <w:pPr>
        <w:spacing w:after="0" w:line="240" w:lineRule="auto"/>
        <w:rPr>
          <w:rFonts w:ascii="Times New Roman" w:eastAsia="Times New Roman" w:hAnsi="Times New Roman" w:cs="Times New Roman"/>
          <w:sz w:val="24"/>
          <w:szCs w:val="24"/>
        </w:rPr>
      </w:pPr>
      <w:r w:rsidRPr="007E61AF">
        <w:rPr>
          <w:rFonts w:ascii="Times New Roman" w:eastAsia="Times New Roman" w:hAnsi="Times New Roman" w:cs="Times New Roman"/>
          <w:b/>
          <w:bCs/>
          <w:sz w:val="24"/>
          <w:szCs w:val="24"/>
        </w:rPr>
        <w:t>Position Title</w:t>
      </w:r>
      <w:r w:rsidRPr="007E61AF">
        <w:rPr>
          <w:rFonts w:ascii="Times New Roman" w:eastAsia="Times New Roman" w:hAnsi="Times New Roman" w:cs="Times New Roman"/>
          <w:sz w:val="24"/>
          <w:szCs w:val="24"/>
        </w:rPr>
        <w:t xml:space="preserve">: </w:t>
      </w:r>
      <w:r w:rsidR="000739D8">
        <w:rPr>
          <w:rFonts w:ascii="Times New Roman" w:hAnsi="Times New Roman" w:cs="Times New Roman"/>
          <w:color w:val="201F1E"/>
          <w:sz w:val="24"/>
          <w:szCs w:val="24"/>
          <w:shd w:val="clear" w:color="auto" w:fill="FFFFFF"/>
        </w:rPr>
        <w:t xml:space="preserve">Accounting Analyst </w:t>
      </w:r>
    </w:p>
    <w:p w14:paraId="5BFF8BDA" w14:textId="084E4ED9" w:rsidR="005238ED" w:rsidRPr="007E61AF" w:rsidRDefault="00D0586B" w:rsidP="005238ED">
      <w:pPr>
        <w:spacing w:after="0" w:line="240" w:lineRule="auto"/>
        <w:rPr>
          <w:rFonts w:ascii="Times New Roman" w:eastAsia="Times New Roman" w:hAnsi="Times New Roman" w:cs="Times New Roman"/>
          <w:sz w:val="24"/>
          <w:szCs w:val="24"/>
        </w:rPr>
      </w:pPr>
      <w:r w:rsidRPr="007E61AF">
        <w:rPr>
          <w:rFonts w:ascii="Times New Roman" w:eastAsia="Times New Roman" w:hAnsi="Times New Roman" w:cs="Times New Roman"/>
          <w:b/>
          <w:bCs/>
          <w:sz w:val="24"/>
          <w:szCs w:val="24"/>
        </w:rPr>
        <w:t>Location:</w:t>
      </w:r>
      <w:r w:rsidRPr="007E61AF">
        <w:rPr>
          <w:rFonts w:ascii="Times New Roman" w:eastAsia="Times New Roman" w:hAnsi="Times New Roman" w:cs="Times New Roman"/>
          <w:sz w:val="24"/>
          <w:szCs w:val="24"/>
        </w:rPr>
        <w:t xml:space="preserve"> </w:t>
      </w:r>
      <w:r w:rsidR="005238ED" w:rsidRPr="007E61AF">
        <w:rPr>
          <w:rFonts w:ascii="Times New Roman" w:eastAsia="Times New Roman" w:hAnsi="Times New Roman" w:cs="Times New Roman"/>
          <w:sz w:val="24"/>
          <w:szCs w:val="24"/>
        </w:rPr>
        <w:t> </w:t>
      </w:r>
      <w:r w:rsidR="000739D8">
        <w:rPr>
          <w:rFonts w:ascii="Times New Roman" w:eastAsia="Times New Roman" w:hAnsi="Times New Roman" w:cs="Times New Roman"/>
          <w:sz w:val="24"/>
          <w:szCs w:val="24"/>
        </w:rPr>
        <w:t>Washington DC</w:t>
      </w:r>
      <w:r w:rsidR="007E61AF" w:rsidRPr="007E61AF">
        <w:rPr>
          <w:rFonts w:ascii="Times New Roman" w:eastAsia="Times New Roman" w:hAnsi="Times New Roman" w:cs="Times New Roman"/>
          <w:sz w:val="24"/>
          <w:szCs w:val="24"/>
        </w:rPr>
        <w:tab/>
      </w:r>
    </w:p>
    <w:p w14:paraId="75A5048E" w14:textId="0FE69057" w:rsidR="005238ED" w:rsidRPr="007E61AF" w:rsidRDefault="005238ED" w:rsidP="005238ED">
      <w:pPr>
        <w:spacing w:after="0" w:line="240" w:lineRule="auto"/>
        <w:rPr>
          <w:rFonts w:ascii="Times New Roman" w:eastAsia="Times New Roman" w:hAnsi="Times New Roman" w:cs="Times New Roman"/>
          <w:sz w:val="24"/>
          <w:szCs w:val="24"/>
        </w:rPr>
      </w:pPr>
    </w:p>
    <w:p w14:paraId="56ACBE09" w14:textId="77777777" w:rsidR="005238ED" w:rsidRPr="005238ED" w:rsidRDefault="005238ED" w:rsidP="005238ED">
      <w:pPr>
        <w:spacing w:after="0" w:line="240" w:lineRule="auto"/>
        <w:rPr>
          <w:rFonts w:ascii="Times New Roman" w:eastAsia="Times New Roman" w:hAnsi="Times New Roman" w:cs="Times New Roman"/>
          <w:sz w:val="24"/>
          <w:szCs w:val="24"/>
        </w:rPr>
      </w:pPr>
    </w:p>
    <w:p w14:paraId="3C034240" w14:textId="2AC0227C" w:rsidR="005238ED" w:rsidRPr="007E61AF" w:rsidRDefault="005238ED" w:rsidP="005238ED">
      <w:pPr>
        <w:spacing w:after="0" w:line="240" w:lineRule="auto"/>
        <w:rPr>
          <w:rFonts w:ascii="Times New Roman" w:eastAsia="Times New Roman" w:hAnsi="Times New Roman" w:cs="Times New Roman"/>
          <w:sz w:val="24"/>
          <w:szCs w:val="24"/>
        </w:rPr>
      </w:pPr>
      <w:r w:rsidRPr="007E61AF">
        <w:rPr>
          <w:rFonts w:ascii="Times New Roman" w:eastAsia="Times New Roman" w:hAnsi="Times New Roman" w:cs="Times New Roman"/>
          <w:sz w:val="24"/>
          <w:szCs w:val="24"/>
        </w:rPr>
        <w:t>Savantage Solutions is seeking</w:t>
      </w:r>
      <w:r w:rsidR="007E61AF">
        <w:rPr>
          <w:rFonts w:ascii="Times New Roman" w:eastAsia="Times New Roman" w:hAnsi="Times New Roman" w:cs="Times New Roman"/>
          <w:sz w:val="24"/>
          <w:szCs w:val="24"/>
        </w:rPr>
        <w:t xml:space="preserve"> </w:t>
      </w:r>
      <w:r w:rsidR="000739D8">
        <w:rPr>
          <w:rFonts w:ascii="Times New Roman" w:hAnsi="Times New Roman" w:cs="Times New Roman"/>
          <w:color w:val="201F1E"/>
          <w:sz w:val="24"/>
          <w:szCs w:val="24"/>
          <w:shd w:val="clear" w:color="auto" w:fill="FFFFFF"/>
        </w:rPr>
        <w:t>Accounting Analyst</w:t>
      </w:r>
      <w:r w:rsidR="007E61AF" w:rsidRPr="007E61AF">
        <w:rPr>
          <w:rFonts w:ascii="Times New Roman" w:hAnsi="Times New Roman" w:cs="Times New Roman"/>
          <w:color w:val="201F1E"/>
          <w:sz w:val="24"/>
          <w:szCs w:val="24"/>
          <w:shd w:val="clear" w:color="auto" w:fill="FFFFFF"/>
        </w:rPr>
        <w:t xml:space="preserve"> </w:t>
      </w:r>
      <w:r w:rsidR="00A32CC2" w:rsidRPr="007E61AF">
        <w:rPr>
          <w:rFonts w:ascii="Times New Roman" w:eastAsia="Times New Roman" w:hAnsi="Times New Roman" w:cs="Times New Roman"/>
          <w:sz w:val="24"/>
          <w:szCs w:val="24"/>
        </w:rPr>
        <w:t xml:space="preserve">to </w:t>
      </w:r>
      <w:r w:rsidRPr="007E61AF">
        <w:rPr>
          <w:rFonts w:ascii="Times New Roman" w:eastAsia="Times New Roman" w:hAnsi="Times New Roman" w:cs="Times New Roman"/>
          <w:sz w:val="24"/>
          <w:szCs w:val="24"/>
        </w:rPr>
        <w:t xml:space="preserve">join our </w:t>
      </w:r>
      <w:r w:rsidR="005B1B11" w:rsidRPr="007E61AF">
        <w:rPr>
          <w:rFonts w:ascii="Times New Roman" w:eastAsia="Times New Roman" w:hAnsi="Times New Roman" w:cs="Times New Roman"/>
          <w:sz w:val="24"/>
          <w:szCs w:val="24"/>
        </w:rPr>
        <w:t xml:space="preserve">professional services </w:t>
      </w:r>
      <w:r w:rsidRPr="007E61AF">
        <w:rPr>
          <w:rFonts w:ascii="Times New Roman" w:eastAsia="Times New Roman" w:hAnsi="Times New Roman" w:cs="Times New Roman"/>
          <w:sz w:val="24"/>
          <w:szCs w:val="24"/>
        </w:rPr>
        <w:t xml:space="preserve">team. We provide a challenging, dynamic, and fast paced work environment where innovation is </w:t>
      </w:r>
      <w:r w:rsidR="00D0586B" w:rsidRPr="007E61AF">
        <w:rPr>
          <w:rFonts w:ascii="Times New Roman" w:eastAsia="Times New Roman" w:hAnsi="Times New Roman" w:cs="Times New Roman"/>
          <w:sz w:val="24"/>
          <w:szCs w:val="24"/>
        </w:rPr>
        <w:t>nurtured,</w:t>
      </w:r>
      <w:r w:rsidRPr="007E61AF">
        <w:rPr>
          <w:rFonts w:ascii="Times New Roman" w:eastAsia="Times New Roman" w:hAnsi="Times New Roman" w:cs="Times New Roman"/>
          <w:sz w:val="24"/>
          <w:szCs w:val="24"/>
        </w:rPr>
        <w:t xml:space="preserve"> and creativity is embraced</w:t>
      </w:r>
    </w:p>
    <w:p w14:paraId="64116910" w14:textId="77777777" w:rsidR="005238ED" w:rsidRPr="005238ED" w:rsidRDefault="005238ED" w:rsidP="005238ED">
      <w:pPr>
        <w:spacing w:after="0" w:line="240" w:lineRule="auto"/>
        <w:rPr>
          <w:rFonts w:ascii="Times New Roman" w:eastAsia="Times New Roman" w:hAnsi="Times New Roman" w:cs="Times New Roman"/>
          <w:sz w:val="24"/>
          <w:szCs w:val="24"/>
        </w:rPr>
      </w:pPr>
    </w:p>
    <w:p w14:paraId="0AF88686" w14:textId="77777777" w:rsidR="005238ED" w:rsidRPr="005238ED" w:rsidRDefault="005238ED" w:rsidP="005238ED">
      <w:pPr>
        <w:spacing w:after="0" w:line="240" w:lineRule="auto"/>
        <w:rPr>
          <w:rFonts w:ascii="Times New Roman" w:eastAsia="Times New Roman" w:hAnsi="Times New Roman" w:cs="Times New Roman"/>
          <w:sz w:val="24"/>
          <w:szCs w:val="24"/>
        </w:rPr>
      </w:pPr>
      <w:r w:rsidRPr="005238ED">
        <w:rPr>
          <w:rFonts w:ascii="Times New Roman" w:eastAsia="Times New Roman" w:hAnsi="Times New Roman" w:cs="Times New Roman"/>
          <w:b/>
          <w:bCs/>
          <w:sz w:val="24"/>
          <w:szCs w:val="24"/>
          <w:u w:val="single"/>
        </w:rPr>
        <w:t>Corporate Summary: </w:t>
      </w:r>
    </w:p>
    <w:p w14:paraId="7B4D71E2" w14:textId="77777777" w:rsidR="005238ED" w:rsidRPr="005238ED" w:rsidRDefault="005238ED" w:rsidP="005238ED">
      <w:pPr>
        <w:spacing w:after="0" w:line="240" w:lineRule="auto"/>
        <w:rPr>
          <w:rFonts w:ascii="Times New Roman" w:eastAsia="Times New Roman" w:hAnsi="Times New Roman" w:cs="Times New Roman"/>
          <w:sz w:val="24"/>
          <w:szCs w:val="24"/>
        </w:rPr>
      </w:pPr>
      <w:r w:rsidRPr="005238ED">
        <w:rPr>
          <w:rFonts w:ascii="Times New Roman" w:eastAsia="Times New Roman" w:hAnsi="Times New Roman" w:cs="Times New Roman"/>
          <w:sz w:val="24"/>
          <w:szCs w:val="24"/>
        </w:rPr>
        <w:t>Savantage Solutions provides a wide range of consulting, systems integration, and financial and project management support to federal and DoD agencies. For over two decades, Savantage Solutions has partnered with organizations in both the public and private sectors to achieve innovative solutions for customers' challenges.  Savantage Solutions is a woman-owned company that values diversity, initiative, and a commitment to learning and growing. Our philosophy is that diversity is an asset to any industry or organization, and that innovation is only nurtured in an environment that embraces creativity and open minds. We thrive on the ideas and perspectives generated by a diverse workforce.</w:t>
      </w:r>
    </w:p>
    <w:p w14:paraId="49A7DA12" w14:textId="77777777" w:rsidR="00284601" w:rsidRDefault="00284601" w:rsidP="00B6716F">
      <w:pPr>
        <w:spacing w:after="0" w:line="240" w:lineRule="auto"/>
        <w:rPr>
          <w:rFonts w:ascii="Times New Roman" w:hAnsi="Times New Roman" w:cs="Times New Roman"/>
          <w:sz w:val="24"/>
          <w:szCs w:val="24"/>
        </w:rPr>
      </w:pPr>
    </w:p>
    <w:p w14:paraId="66833113" w14:textId="58C99D64" w:rsidR="00B6716F" w:rsidRDefault="005238ED" w:rsidP="00B6716F">
      <w:pPr>
        <w:spacing w:after="0" w:line="240" w:lineRule="auto"/>
        <w:rPr>
          <w:rFonts w:ascii="Times New Roman" w:eastAsia="Times New Roman" w:hAnsi="Times New Roman" w:cs="Times New Roman"/>
          <w:b/>
          <w:bCs/>
          <w:sz w:val="24"/>
          <w:szCs w:val="24"/>
          <w:u w:val="single"/>
        </w:rPr>
      </w:pPr>
      <w:r w:rsidRPr="005238ED">
        <w:rPr>
          <w:rFonts w:ascii="Times New Roman" w:eastAsia="Times New Roman" w:hAnsi="Times New Roman" w:cs="Times New Roman"/>
          <w:b/>
          <w:bCs/>
          <w:sz w:val="24"/>
          <w:szCs w:val="24"/>
          <w:u w:val="single"/>
        </w:rPr>
        <w:t>Duties and Responsibilities:</w:t>
      </w:r>
    </w:p>
    <w:p w14:paraId="2B0A5323" w14:textId="77777777" w:rsidR="000739D8" w:rsidRPr="000739D8" w:rsidRDefault="000739D8" w:rsidP="000739D8">
      <w:pPr>
        <w:pStyle w:val="ListParagraph"/>
        <w:numPr>
          <w:ilvl w:val="0"/>
          <w:numId w:val="22"/>
        </w:numPr>
        <w:rPr>
          <w:rFonts w:ascii="Times New Roman" w:hAnsi="Times New Roman"/>
          <w:sz w:val="24"/>
          <w:szCs w:val="24"/>
        </w:rPr>
      </w:pPr>
      <w:r w:rsidRPr="000739D8">
        <w:rPr>
          <w:rFonts w:ascii="Times New Roman" w:hAnsi="Times New Roman"/>
          <w:sz w:val="24"/>
          <w:szCs w:val="24"/>
        </w:rPr>
        <w:t xml:space="preserve">organization or program performance to identify areas for remediation or improvement. </w:t>
      </w:r>
    </w:p>
    <w:p w14:paraId="46242FAB" w14:textId="77777777" w:rsidR="000739D8" w:rsidRPr="000739D8" w:rsidRDefault="000739D8" w:rsidP="000739D8">
      <w:pPr>
        <w:pStyle w:val="ListParagraph"/>
        <w:numPr>
          <w:ilvl w:val="0"/>
          <w:numId w:val="22"/>
        </w:numPr>
        <w:spacing w:before="80" w:after="80"/>
        <w:rPr>
          <w:rFonts w:ascii="Times New Roman" w:hAnsi="Times New Roman"/>
          <w:sz w:val="24"/>
          <w:szCs w:val="24"/>
        </w:rPr>
      </w:pPr>
      <w:r w:rsidRPr="000739D8">
        <w:rPr>
          <w:rFonts w:ascii="Times New Roman" w:hAnsi="Times New Roman"/>
          <w:sz w:val="24"/>
          <w:szCs w:val="24"/>
        </w:rPr>
        <w:t xml:space="preserve">Provide technical support and professional accounting expertise to perform analysis and reconciliation of general ledger accounts. This includes: </w:t>
      </w:r>
    </w:p>
    <w:p w14:paraId="754597AC" w14:textId="77777777" w:rsidR="000739D8" w:rsidRPr="000739D8" w:rsidRDefault="000739D8" w:rsidP="000739D8">
      <w:pPr>
        <w:pStyle w:val="ListParagraph"/>
        <w:numPr>
          <w:ilvl w:val="1"/>
          <w:numId w:val="23"/>
        </w:numPr>
        <w:spacing w:before="80" w:after="80"/>
        <w:rPr>
          <w:rFonts w:ascii="Times New Roman" w:hAnsi="Times New Roman"/>
          <w:sz w:val="24"/>
          <w:szCs w:val="24"/>
        </w:rPr>
      </w:pPr>
      <w:r w:rsidRPr="000739D8">
        <w:rPr>
          <w:rFonts w:ascii="Times New Roman" w:hAnsi="Times New Roman"/>
          <w:sz w:val="24"/>
          <w:szCs w:val="24"/>
        </w:rPr>
        <w:t xml:space="preserve">Review general ledger and transaction-based detail data against Treasury Account Symbols (TAS) to ensure the integrity and reliability of data for complete and accurate financial reporting. </w:t>
      </w:r>
    </w:p>
    <w:p w14:paraId="09D8988D" w14:textId="77777777" w:rsidR="000739D8" w:rsidRPr="000739D8" w:rsidRDefault="000739D8" w:rsidP="000739D8">
      <w:pPr>
        <w:pStyle w:val="ListParagraph"/>
        <w:numPr>
          <w:ilvl w:val="1"/>
          <w:numId w:val="23"/>
        </w:numPr>
        <w:spacing w:before="80" w:after="80"/>
        <w:rPr>
          <w:rFonts w:ascii="Times New Roman" w:hAnsi="Times New Roman"/>
          <w:sz w:val="24"/>
          <w:szCs w:val="24"/>
        </w:rPr>
      </w:pPr>
      <w:r w:rsidRPr="000739D8">
        <w:rPr>
          <w:rFonts w:ascii="Times New Roman" w:hAnsi="Times New Roman"/>
          <w:sz w:val="24"/>
          <w:szCs w:val="24"/>
        </w:rPr>
        <w:t>Enhance accounting processes and external financial reporting to Treasury (CARS and GTAS).</w:t>
      </w:r>
    </w:p>
    <w:p w14:paraId="5560FE76" w14:textId="77777777" w:rsidR="000739D8" w:rsidRPr="000739D8" w:rsidRDefault="000739D8" w:rsidP="000739D8">
      <w:pPr>
        <w:pStyle w:val="ListParagraph"/>
        <w:numPr>
          <w:ilvl w:val="1"/>
          <w:numId w:val="23"/>
        </w:numPr>
        <w:spacing w:before="80" w:after="80"/>
        <w:rPr>
          <w:rFonts w:ascii="Times New Roman" w:hAnsi="Times New Roman"/>
          <w:sz w:val="24"/>
          <w:szCs w:val="24"/>
        </w:rPr>
      </w:pPr>
      <w:r w:rsidRPr="000739D8">
        <w:rPr>
          <w:rFonts w:ascii="Times New Roman" w:hAnsi="Times New Roman"/>
          <w:sz w:val="24"/>
          <w:szCs w:val="24"/>
        </w:rPr>
        <w:t xml:space="preserve">Review fund the judiciary trial balance by fund compliance with the Treasury, USSGL. </w:t>
      </w:r>
    </w:p>
    <w:p w14:paraId="050ED946" w14:textId="77777777" w:rsidR="000739D8" w:rsidRPr="000739D8" w:rsidRDefault="000739D8" w:rsidP="000739D8">
      <w:pPr>
        <w:pStyle w:val="ListParagraph"/>
        <w:numPr>
          <w:ilvl w:val="1"/>
          <w:numId w:val="23"/>
        </w:numPr>
        <w:spacing w:before="80" w:after="80"/>
        <w:rPr>
          <w:rFonts w:ascii="Times New Roman" w:hAnsi="Times New Roman"/>
          <w:sz w:val="24"/>
          <w:szCs w:val="24"/>
        </w:rPr>
      </w:pPr>
      <w:r w:rsidRPr="000739D8">
        <w:rPr>
          <w:rFonts w:ascii="Times New Roman" w:hAnsi="Times New Roman"/>
          <w:sz w:val="24"/>
          <w:szCs w:val="24"/>
        </w:rPr>
        <w:t>Review data reported in Memorandum Accounts and Funds Held Outside Treasury (FHOT) processed in JIFMS to validate account balances and accurate financial reporting.</w:t>
      </w:r>
    </w:p>
    <w:p w14:paraId="25B21531" w14:textId="77777777" w:rsidR="000739D8" w:rsidRPr="000739D8" w:rsidRDefault="000739D8" w:rsidP="000739D8">
      <w:pPr>
        <w:pStyle w:val="ListParagraph"/>
        <w:numPr>
          <w:ilvl w:val="1"/>
          <w:numId w:val="23"/>
        </w:numPr>
        <w:spacing w:before="80" w:after="80"/>
        <w:rPr>
          <w:rFonts w:ascii="Times New Roman" w:hAnsi="Times New Roman"/>
          <w:sz w:val="24"/>
          <w:szCs w:val="24"/>
        </w:rPr>
      </w:pPr>
      <w:r w:rsidRPr="000739D8">
        <w:rPr>
          <w:rFonts w:ascii="Times New Roman" w:hAnsi="Times New Roman"/>
          <w:sz w:val="24"/>
          <w:szCs w:val="24"/>
        </w:rPr>
        <w:t>Perform aging of general ledger account balances</w:t>
      </w:r>
    </w:p>
    <w:p w14:paraId="3BE3CC92" w14:textId="77777777" w:rsidR="000739D8" w:rsidRPr="000739D8" w:rsidRDefault="000739D8" w:rsidP="000739D8">
      <w:pPr>
        <w:pStyle w:val="ListParagraph"/>
        <w:numPr>
          <w:ilvl w:val="1"/>
          <w:numId w:val="23"/>
        </w:numPr>
        <w:spacing w:before="80" w:after="80"/>
        <w:rPr>
          <w:rFonts w:ascii="Times New Roman" w:hAnsi="Times New Roman"/>
          <w:sz w:val="24"/>
          <w:szCs w:val="24"/>
        </w:rPr>
      </w:pPr>
      <w:r w:rsidRPr="000739D8">
        <w:rPr>
          <w:rFonts w:ascii="Times New Roman" w:hAnsi="Times New Roman"/>
          <w:sz w:val="24"/>
          <w:szCs w:val="24"/>
        </w:rPr>
        <w:t>Develop general ledger reconciliations to provide reasonable assurance that USSGL data is complete, accurate, and prevents misstatement of financial reporting.</w:t>
      </w:r>
    </w:p>
    <w:p w14:paraId="2D2BD9BA" w14:textId="77777777" w:rsidR="000739D8" w:rsidRPr="000739D8" w:rsidRDefault="000739D8" w:rsidP="000739D8">
      <w:pPr>
        <w:pStyle w:val="ListParagraph"/>
        <w:numPr>
          <w:ilvl w:val="1"/>
          <w:numId w:val="23"/>
        </w:numPr>
        <w:spacing w:before="80" w:after="80"/>
        <w:rPr>
          <w:rFonts w:ascii="Times New Roman" w:hAnsi="Times New Roman"/>
          <w:sz w:val="24"/>
          <w:szCs w:val="24"/>
        </w:rPr>
      </w:pPr>
      <w:r w:rsidRPr="000739D8">
        <w:rPr>
          <w:rFonts w:ascii="Times New Roman" w:hAnsi="Times New Roman"/>
          <w:sz w:val="24"/>
          <w:szCs w:val="24"/>
        </w:rPr>
        <w:t>Review budgetary and propriety accounts reconciliations for tie-point relationships</w:t>
      </w:r>
    </w:p>
    <w:p w14:paraId="064C8280" w14:textId="77777777" w:rsidR="000739D8" w:rsidRPr="000739D8" w:rsidRDefault="000739D8" w:rsidP="000739D8">
      <w:pPr>
        <w:pStyle w:val="ListParagraph"/>
        <w:numPr>
          <w:ilvl w:val="1"/>
          <w:numId w:val="23"/>
        </w:numPr>
        <w:spacing w:before="80" w:after="80"/>
        <w:rPr>
          <w:rFonts w:ascii="Times New Roman" w:hAnsi="Times New Roman"/>
          <w:sz w:val="24"/>
          <w:szCs w:val="24"/>
        </w:rPr>
      </w:pPr>
      <w:r w:rsidRPr="000739D8">
        <w:rPr>
          <w:rFonts w:ascii="Times New Roman" w:hAnsi="Times New Roman"/>
          <w:sz w:val="24"/>
          <w:szCs w:val="24"/>
        </w:rPr>
        <w:t xml:space="preserve">Provide suspense fund reconciliation.  Identify any aged activity within the suspense accounts, develop recommendations and corrective actions for timely and accurate reporting. </w:t>
      </w:r>
    </w:p>
    <w:p w14:paraId="62C60823" w14:textId="77777777" w:rsidR="007E61AF" w:rsidRDefault="007E61AF" w:rsidP="00B6716F">
      <w:pPr>
        <w:spacing w:after="0" w:line="240" w:lineRule="auto"/>
        <w:rPr>
          <w:rFonts w:ascii="Times New Roman" w:eastAsia="Times New Roman" w:hAnsi="Times New Roman" w:cs="Times New Roman"/>
          <w:b/>
          <w:bCs/>
          <w:sz w:val="24"/>
          <w:szCs w:val="24"/>
          <w:u w:val="single"/>
        </w:rPr>
      </w:pPr>
    </w:p>
    <w:p w14:paraId="27989CAF" w14:textId="77777777" w:rsidR="000739D8" w:rsidRPr="000739D8" w:rsidRDefault="000739D8" w:rsidP="000739D8">
      <w:pPr>
        <w:pStyle w:val="ListParagraph"/>
        <w:numPr>
          <w:ilvl w:val="0"/>
          <w:numId w:val="22"/>
        </w:numPr>
        <w:spacing w:before="80" w:after="80"/>
        <w:rPr>
          <w:rFonts w:ascii="Times New Roman" w:hAnsi="Times New Roman"/>
          <w:sz w:val="24"/>
          <w:szCs w:val="24"/>
        </w:rPr>
      </w:pPr>
      <w:bookmarkStart w:id="0" w:name="_Hlk12282275"/>
      <w:r w:rsidRPr="000739D8">
        <w:rPr>
          <w:rFonts w:ascii="Times New Roman" w:hAnsi="Times New Roman"/>
          <w:sz w:val="24"/>
          <w:szCs w:val="24"/>
        </w:rPr>
        <w:lastRenderedPageBreak/>
        <w:t>Review various financial reporting activities for accuracy and effectiveness. This includes:</w:t>
      </w:r>
    </w:p>
    <w:p w14:paraId="24BFB1C7" w14:textId="77777777" w:rsidR="000739D8" w:rsidRPr="000739D8" w:rsidRDefault="000739D8" w:rsidP="000739D8">
      <w:pPr>
        <w:pStyle w:val="ListParagraph"/>
        <w:numPr>
          <w:ilvl w:val="1"/>
          <w:numId w:val="24"/>
        </w:numPr>
        <w:spacing w:before="80" w:after="80"/>
        <w:rPr>
          <w:rFonts w:ascii="Times New Roman" w:hAnsi="Times New Roman"/>
          <w:sz w:val="24"/>
          <w:szCs w:val="24"/>
        </w:rPr>
      </w:pPr>
      <w:r w:rsidRPr="000739D8">
        <w:rPr>
          <w:rFonts w:ascii="Times New Roman" w:hAnsi="Times New Roman"/>
          <w:sz w:val="24"/>
          <w:szCs w:val="24"/>
        </w:rPr>
        <w:t>Review the month end financial reporting activities through the AO274 accountability reporting and AO183 reporting.</w:t>
      </w:r>
    </w:p>
    <w:p w14:paraId="6913EEB7" w14:textId="77777777" w:rsidR="000739D8" w:rsidRPr="000739D8" w:rsidRDefault="000739D8" w:rsidP="000739D8">
      <w:pPr>
        <w:pStyle w:val="ListParagraph"/>
        <w:numPr>
          <w:ilvl w:val="1"/>
          <w:numId w:val="24"/>
        </w:numPr>
        <w:spacing w:before="80" w:after="80"/>
        <w:rPr>
          <w:rFonts w:ascii="Times New Roman" w:hAnsi="Times New Roman"/>
          <w:sz w:val="24"/>
          <w:szCs w:val="24"/>
        </w:rPr>
      </w:pPr>
      <w:r w:rsidRPr="000739D8">
        <w:rPr>
          <w:rFonts w:ascii="Times New Roman" w:hAnsi="Times New Roman"/>
          <w:sz w:val="24"/>
          <w:szCs w:val="24"/>
        </w:rPr>
        <w:t>Review the classification accounts receivable transactions on the Treasury Report on Receivables (TROR) in accordance with Treasury guidance.</w:t>
      </w:r>
    </w:p>
    <w:p w14:paraId="3CB9D100" w14:textId="77777777" w:rsidR="000739D8" w:rsidRPr="000739D8" w:rsidRDefault="000739D8" w:rsidP="000739D8">
      <w:pPr>
        <w:pStyle w:val="ListParagraph"/>
        <w:numPr>
          <w:ilvl w:val="1"/>
          <w:numId w:val="24"/>
        </w:numPr>
        <w:spacing w:before="80" w:after="80"/>
        <w:rPr>
          <w:rFonts w:ascii="Times New Roman" w:hAnsi="Times New Roman"/>
          <w:sz w:val="24"/>
          <w:szCs w:val="24"/>
        </w:rPr>
      </w:pPr>
      <w:r w:rsidRPr="000739D8">
        <w:rPr>
          <w:rFonts w:ascii="Times New Roman" w:hAnsi="Times New Roman"/>
          <w:sz w:val="24"/>
          <w:szCs w:val="24"/>
        </w:rPr>
        <w:t>Assist in the monthly, quarterly and year-end reporting of judiciary trial balance data to Treasury. (Governmentwide Treasury Account Symbol Adjusted Trial Balance System (GTAS) Reporting)</w:t>
      </w:r>
    </w:p>
    <w:p w14:paraId="3F93C3C4" w14:textId="77777777" w:rsidR="000739D8" w:rsidRPr="000739D8" w:rsidRDefault="000739D8" w:rsidP="000739D8">
      <w:pPr>
        <w:pStyle w:val="ListParagraph"/>
        <w:numPr>
          <w:ilvl w:val="1"/>
          <w:numId w:val="24"/>
        </w:numPr>
        <w:spacing w:before="80" w:after="80"/>
        <w:rPr>
          <w:rFonts w:ascii="Times New Roman" w:hAnsi="Times New Roman"/>
          <w:sz w:val="24"/>
          <w:szCs w:val="24"/>
        </w:rPr>
      </w:pPr>
      <w:r w:rsidRPr="000739D8">
        <w:rPr>
          <w:rFonts w:ascii="Times New Roman" w:hAnsi="Times New Roman"/>
          <w:sz w:val="24"/>
          <w:szCs w:val="24"/>
        </w:rPr>
        <w:t>Compare adjusted bulk files to Treasury GTAS reporting requirements.</w:t>
      </w:r>
    </w:p>
    <w:p w14:paraId="22CA1D15" w14:textId="77777777" w:rsidR="000739D8" w:rsidRPr="000739D8" w:rsidRDefault="000739D8" w:rsidP="000739D8">
      <w:pPr>
        <w:pStyle w:val="ListParagraph"/>
        <w:numPr>
          <w:ilvl w:val="1"/>
          <w:numId w:val="24"/>
        </w:numPr>
        <w:spacing w:before="80" w:after="80"/>
        <w:rPr>
          <w:rFonts w:ascii="Times New Roman" w:hAnsi="Times New Roman"/>
          <w:sz w:val="24"/>
          <w:szCs w:val="24"/>
        </w:rPr>
      </w:pPr>
      <w:r w:rsidRPr="000739D8">
        <w:rPr>
          <w:rFonts w:ascii="Times New Roman" w:hAnsi="Times New Roman"/>
          <w:sz w:val="24"/>
          <w:szCs w:val="24"/>
        </w:rPr>
        <w:t>Apply USSGL guidelines.</w:t>
      </w:r>
    </w:p>
    <w:p w14:paraId="3ECA712A" w14:textId="77777777" w:rsidR="000739D8" w:rsidRPr="000739D8" w:rsidRDefault="000739D8" w:rsidP="000739D8">
      <w:pPr>
        <w:pStyle w:val="ListParagraph"/>
        <w:numPr>
          <w:ilvl w:val="1"/>
          <w:numId w:val="24"/>
        </w:numPr>
        <w:spacing w:before="80" w:after="80"/>
        <w:rPr>
          <w:rFonts w:ascii="Times New Roman" w:hAnsi="Times New Roman"/>
          <w:sz w:val="24"/>
          <w:szCs w:val="24"/>
        </w:rPr>
      </w:pPr>
      <w:r w:rsidRPr="000739D8">
        <w:rPr>
          <w:rFonts w:ascii="Times New Roman" w:hAnsi="Times New Roman"/>
          <w:sz w:val="24"/>
          <w:szCs w:val="24"/>
        </w:rPr>
        <w:t>Provide support to judiciary’s annual close process. Comply with Treasury Year-end reporting and closing rules.</w:t>
      </w:r>
    </w:p>
    <w:p w14:paraId="7FA865E5" w14:textId="77643D7C" w:rsidR="00A32CC2" w:rsidRPr="000739D8" w:rsidRDefault="000739D8" w:rsidP="000739D8">
      <w:pPr>
        <w:pStyle w:val="ListParagraph"/>
        <w:numPr>
          <w:ilvl w:val="1"/>
          <w:numId w:val="24"/>
        </w:numPr>
        <w:rPr>
          <w:rFonts w:ascii="Times New Roman" w:hAnsi="Times New Roman"/>
          <w:b/>
          <w:bCs/>
          <w:color w:val="333333"/>
          <w:sz w:val="24"/>
          <w:szCs w:val="24"/>
          <w:u w:val="single"/>
        </w:rPr>
      </w:pPr>
      <w:r w:rsidRPr="000739D8">
        <w:rPr>
          <w:rFonts w:ascii="Times New Roman" w:hAnsi="Times New Roman"/>
          <w:sz w:val="24"/>
          <w:szCs w:val="24"/>
        </w:rPr>
        <w:t>Identify authoritative guidance for processing and reporting interagency and intra-agency transactions.</w:t>
      </w:r>
    </w:p>
    <w:p w14:paraId="7A59ECE3" w14:textId="77777777" w:rsidR="00A32CC2" w:rsidRPr="00B6716F" w:rsidRDefault="00A32CC2" w:rsidP="005238ED">
      <w:pPr>
        <w:spacing w:after="0" w:line="240" w:lineRule="auto"/>
        <w:rPr>
          <w:rFonts w:ascii="Times New Roman" w:eastAsia="Times New Roman" w:hAnsi="Times New Roman" w:cs="Times New Roman"/>
          <w:b/>
          <w:bCs/>
          <w:color w:val="333333"/>
          <w:sz w:val="24"/>
          <w:szCs w:val="24"/>
          <w:u w:val="single"/>
        </w:rPr>
      </w:pPr>
    </w:p>
    <w:p w14:paraId="66E1B37A" w14:textId="3347C9EF" w:rsidR="005238ED" w:rsidRPr="00B6716F" w:rsidRDefault="005238ED" w:rsidP="005238ED">
      <w:pPr>
        <w:spacing w:after="0" w:line="240" w:lineRule="auto"/>
        <w:rPr>
          <w:rFonts w:ascii="Times New Roman" w:eastAsia="Times New Roman" w:hAnsi="Times New Roman" w:cs="Times New Roman"/>
          <w:b/>
          <w:bCs/>
          <w:color w:val="333333"/>
          <w:sz w:val="24"/>
          <w:szCs w:val="24"/>
          <w:u w:val="single"/>
        </w:rPr>
      </w:pPr>
      <w:r w:rsidRPr="00B6716F">
        <w:rPr>
          <w:rFonts w:ascii="Times New Roman" w:eastAsia="Times New Roman" w:hAnsi="Times New Roman" w:cs="Times New Roman"/>
          <w:b/>
          <w:bCs/>
          <w:color w:val="333333"/>
          <w:sz w:val="24"/>
          <w:szCs w:val="24"/>
          <w:u w:val="single"/>
        </w:rPr>
        <w:t>Knowledge, Skill, and Abilities:</w:t>
      </w:r>
    </w:p>
    <w:p w14:paraId="7BAF48A0" w14:textId="77777777" w:rsidR="00403566" w:rsidRPr="008B3266" w:rsidRDefault="00403566" w:rsidP="005238ED">
      <w:pPr>
        <w:spacing w:after="0" w:line="240" w:lineRule="auto"/>
        <w:rPr>
          <w:rFonts w:ascii="Times New Roman" w:eastAsia="Times New Roman" w:hAnsi="Times New Roman" w:cs="Times New Roman"/>
          <w:b/>
          <w:color w:val="333333"/>
          <w:sz w:val="24"/>
          <w:szCs w:val="24"/>
          <w:u w:val="single"/>
        </w:rPr>
      </w:pPr>
    </w:p>
    <w:p w14:paraId="1FAC6587" w14:textId="0837C6C4" w:rsidR="008B3266" w:rsidRPr="008B3266" w:rsidRDefault="00DE7595" w:rsidP="008B3266">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403566" w:rsidRPr="008B3266">
        <w:rPr>
          <w:rFonts w:ascii="Times New Roman" w:hAnsi="Times New Roman"/>
          <w:b/>
          <w:sz w:val="24"/>
          <w:szCs w:val="24"/>
        </w:rPr>
        <w:t xml:space="preserve">The candidate </w:t>
      </w:r>
      <w:r w:rsidR="008B3266" w:rsidRPr="008B3266">
        <w:rPr>
          <w:rFonts w:ascii="Times New Roman" w:hAnsi="Times New Roman" w:cs="Times New Roman"/>
          <w:b/>
          <w:sz w:val="24"/>
          <w:szCs w:val="24"/>
        </w:rPr>
        <w:t>Must have in depth knowledge of:</w:t>
      </w:r>
    </w:p>
    <w:p w14:paraId="1E146A75" w14:textId="77777777" w:rsidR="00A764AC" w:rsidRPr="00A764AC" w:rsidRDefault="00A764AC" w:rsidP="00A764AC">
      <w:pPr>
        <w:pStyle w:val="paragraph"/>
        <w:numPr>
          <w:ilvl w:val="0"/>
          <w:numId w:val="34"/>
        </w:numPr>
        <w:spacing w:before="0" w:beforeAutospacing="0" w:after="0" w:afterAutospacing="0"/>
        <w:textAlignment w:val="baseline"/>
      </w:pPr>
      <w:r w:rsidRPr="00A764AC">
        <w:rPr>
          <w:rStyle w:val="normaltextrun"/>
        </w:rPr>
        <w:t>5+ years of experience in Government accounting required.  </w:t>
      </w:r>
      <w:r w:rsidRPr="00A764AC">
        <w:rPr>
          <w:rStyle w:val="eop"/>
        </w:rPr>
        <w:t> </w:t>
      </w:r>
    </w:p>
    <w:p w14:paraId="1044BAFC" w14:textId="77777777" w:rsidR="00A764AC" w:rsidRPr="00A764AC" w:rsidRDefault="00A764AC" w:rsidP="00A764AC">
      <w:pPr>
        <w:pStyle w:val="paragraph"/>
        <w:numPr>
          <w:ilvl w:val="0"/>
          <w:numId w:val="34"/>
        </w:numPr>
        <w:spacing w:before="0" w:beforeAutospacing="0" w:after="0" w:afterAutospacing="0"/>
        <w:textAlignment w:val="baseline"/>
      </w:pPr>
      <w:r w:rsidRPr="00A764AC">
        <w:rPr>
          <w:rStyle w:val="normaltextrun"/>
        </w:rPr>
        <w:t>Must have in depth knowledge of Generally Accepted Accounting Principle (GAAP), Federal Accounting Standards Advisory Board (FASAB) standards and guidance, Treasury guidelines, statutory rules and regulations, and knowledge of USSGL guidelines. </w:t>
      </w:r>
      <w:r w:rsidRPr="00A764AC">
        <w:rPr>
          <w:rStyle w:val="eop"/>
        </w:rPr>
        <w:t> </w:t>
      </w:r>
    </w:p>
    <w:p w14:paraId="37C61D07" w14:textId="77777777" w:rsidR="00A764AC" w:rsidRPr="00A764AC" w:rsidRDefault="00A764AC" w:rsidP="00A764AC">
      <w:pPr>
        <w:pStyle w:val="paragraph"/>
        <w:numPr>
          <w:ilvl w:val="0"/>
          <w:numId w:val="34"/>
        </w:numPr>
        <w:spacing w:before="0" w:beforeAutospacing="0" w:after="0" w:afterAutospacing="0"/>
        <w:textAlignment w:val="baseline"/>
      </w:pPr>
      <w:r w:rsidRPr="00A764AC">
        <w:rPr>
          <w:rStyle w:val="normaltextrun"/>
        </w:rPr>
        <w:t>Experience in analysis and reconciliation of accounting data, data analytics, expertise in financial statements preparation, month end reporting and audit readiness activities.</w:t>
      </w:r>
      <w:r w:rsidRPr="00A764AC">
        <w:rPr>
          <w:rStyle w:val="eop"/>
        </w:rPr>
        <w:t> </w:t>
      </w:r>
    </w:p>
    <w:p w14:paraId="69066E49" w14:textId="77777777" w:rsidR="00A32CC2" w:rsidRPr="00B6716F" w:rsidRDefault="00A32CC2" w:rsidP="005238ED">
      <w:pPr>
        <w:spacing w:after="0" w:line="240" w:lineRule="auto"/>
        <w:rPr>
          <w:rFonts w:ascii="Times New Roman" w:eastAsia="Times New Roman" w:hAnsi="Times New Roman" w:cs="Times New Roman"/>
          <w:b/>
          <w:bCs/>
          <w:color w:val="333333"/>
          <w:sz w:val="24"/>
          <w:szCs w:val="24"/>
          <w:u w:val="single"/>
        </w:rPr>
      </w:pPr>
    </w:p>
    <w:p w14:paraId="0907EB16" w14:textId="77777777" w:rsidR="00DE7595" w:rsidRDefault="00402202" w:rsidP="00DE7595">
      <w:pPr>
        <w:rPr>
          <w:rFonts w:ascii="Times New Roman" w:hAnsi="Times New Roman" w:cs="Times New Roman"/>
          <w:b/>
          <w:bCs/>
          <w:sz w:val="28"/>
          <w:szCs w:val="28"/>
          <w:u w:val="single"/>
        </w:rPr>
      </w:pPr>
      <w:r w:rsidRPr="00403566">
        <w:rPr>
          <w:rFonts w:ascii="Times New Roman" w:hAnsi="Times New Roman"/>
          <w:b/>
          <w:bCs/>
          <w:sz w:val="24"/>
          <w:szCs w:val="24"/>
          <w:u w:val="single"/>
        </w:rPr>
        <w:t xml:space="preserve">Education </w:t>
      </w:r>
      <w:r w:rsidRPr="00B6716F">
        <w:rPr>
          <w:rFonts w:ascii="Times New Roman" w:hAnsi="Times New Roman" w:cs="Times New Roman"/>
          <w:b/>
          <w:bCs/>
          <w:sz w:val="28"/>
          <w:szCs w:val="28"/>
          <w:u w:val="single"/>
        </w:rPr>
        <w:t>and Certifications:</w:t>
      </w:r>
    </w:p>
    <w:p w14:paraId="47506D6C" w14:textId="77777777" w:rsidR="00A764AC" w:rsidRPr="00A764AC" w:rsidRDefault="00A764AC" w:rsidP="00A764AC">
      <w:pPr>
        <w:pStyle w:val="paragraph"/>
        <w:numPr>
          <w:ilvl w:val="0"/>
          <w:numId w:val="36"/>
        </w:numPr>
        <w:spacing w:before="0" w:beforeAutospacing="0" w:after="0" w:afterAutospacing="0"/>
        <w:textAlignment w:val="baseline"/>
      </w:pPr>
      <w:r w:rsidRPr="00A764AC">
        <w:rPr>
          <w:rStyle w:val="normaltextrun"/>
        </w:rPr>
        <w:t>Bachelor’s degree in accounting, finance, or business preferred. </w:t>
      </w:r>
      <w:r w:rsidRPr="00A764AC">
        <w:rPr>
          <w:rStyle w:val="eop"/>
        </w:rPr>
        <w:t> </w:t>
      </w:r>
    </w:p>
    <w:p w14:paraId="7382A6DE" w14:textId="77777777" w:rsidR="00A764AC" w:rsidRPr="00A764AC" w:rsidRDefault="00A764AC" w:rsidP="00A764AC">
      <w:pPr>
        <w:pStyle w:val="paragraph"/>
        <w:numPr>
          <w:ilvl w:val="0"/>
          <w:numId w:val="36"/>
        </w:numPr>
        <w:spacing w:before="0" w:beforeAutospacing="0" w:after="0" w:afterAutospacing="0"/>
        <w:textAlignment w:val="baseline"/>
      </w:pPr>
      <w:r w:rsidRPr="00A764AC">
        <w:rPr>
          <w:rStyle w:val="normaltextrun"/>
        </w:rPr>
        <w:t>CPA or CGFM certification desired.   </w:t>
      </w:r>
      <w:r w:rsidRPr="00A764AC">
        <w:rPr>
          <w:rStyle w:val="eop"/>
        </w:rPr>
        <w:t> </w:t>
      </w:r>
    </w:p>
    <w:p w14:paraId="76487C4B" w14:textId="77777777" w:rsidR="00A764AC" w:rsidRDefault="00A764AC" w:rsidP="00A764AC">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17BD352" w14:textId="7E74DE2E" w:rsidR="00DE7595" w:rsidRDefault="00DE7595" w:rsidP="005238ED">
      <w:pPr>
        <w:pStyle w:val="ListParagraph"/>
        <w:rPr>
          <w:rFonts w:ascii="Times New Roman" w:hAnsi="Times New Roman"/>
          <w:color w:val="333333"/>
          <w:sz w:val="24"/>
          <w:szCs w:val="24"/>
        </w:rPr>
      </w:pPr>
    </w:p>
    <w:bookmarkEnd w:id="0"/>
    <w:p w14:paraId="6E82715E" w14:textId="548007EA" w:rsidR="005238ED" w:rsidRDefault="008613D6" w:rsidP="005238ED">
      <w:pPr>
        <w:pStyle w:val="ListParagraph"/>
        <w:rPr>
          <w:color w:val="333333"/>
        </w:rPr>
      </w:pPr>
      <w:r>
        <w:rPr>
          <w:color w:val="333333"/>
        </w:rPr>
        <w:t xml:space="preserve">           </w:t>
      </w:r>
      <w:r w:rsidRPr="00192765">
        <w:rPr>
          <w:color w:val="333333"/>
        </w:rPr>
        <w:t>Savantage Solutions is an Equal Opportunity/Affirmative Action Employer</w:t>
      </w:r>
    </w:p>
    <w:p w14:paraId="4EBC7998" w14:textId="2F91910A" w:rsidR="003668C0" w:rsidRDefault="003668C0" w:rsidP="005238ED">
      <w:pPr>
        <w:pStyle w:val="ListParagraph"/>
        <w:rPr>
          <w:color w:val="333333"/>
        </w:rPr>
      </w:pPr>
    </w:p>
    <w:p w14:paraId="7E75F7C8" w14:textId="77777777" w:rsidR="003668C0" w:rsidRPr="005238ED" w:rsidRDefault="003668C0" w:rsidP="005238ED">
      <w:pPr>
        <w:pStyle w:val="ListParagraph"/>
        <w:rPr>
          <w:rFonts w:ascii="Times New Roman" w:hAnsi="Times New Roman"/>
          <w:sz w:val="24"/>
          <w:szCs w:val="24"/>
        </w:rPr>
      </w:pPr>
    </w:p>
    <w:sectPr w:rsidR="003668C0" w:rsidRPr="005238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E09B8" w14:textId="77777777" w:rsidR="00D838B5" w:rsidRDefault="00D838B5" w:rsidP="00C35BC2">
      <w:pPr>
        <w:spacing w:after="0" w:line="240" w:lineRule="auto"/>
      </w:pPr>
      <w:r>
        <w:separator/>
      </w:r>
    </w:p>
  </w:endnote>
  <w:endnote w:type="continuationSeparator" w:id="0">
    <w:p w14:paraId="268CB98F" w14:textId="77777777" w:rsidR="00D838B5" w:rsidRDefault="00D838B5" w:rsidP="00C3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4E36" w14:textId="77777777" w:rsidR="00D838B5" w:rsidRDefault="00D838B5" w:rsidP="00C35BC2">
      <w:pPr>
        <w:spacing w:after="0" w:line="240" w:lineRule="auto"/>
      </w:pPr>
      <w:r>
        <w:separator/>
      </w:r>
    </w:p>
  </w:footnote>
  <w:footnote w:type="continuationSeparator" w:id="0">
    <w:p w14:paraId="57C7BA71" w14:textId="77777777" w:rsidR="00D838B5" w:rsidRDefault="00D838B5" w:rsidP="00C3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4ED51" w14:textId="0B4C89C0" w:rsidR="00C35BC2" w:rsidRDefault="00C35BC2">
    <w:pPr>
      <w:pStyle w:val="Header"/>
    </w:pPr>
    <w:r w:rsidRPr="001806CE">
      <w:rPr>
        <w:noProof/>
      </w:rPr>
      <w:drawing>
        <wp:anchor distT="0" distB="0" distL="114300" distR="114300" simplePos="0" relativeHeight="251659264" behindDoc="0" locked="0" layoutInCell="1" allowOverlap="1" wp14:anchorId="124D4C9D" wp14:editId="4112E3A2">
          <wp:simplePos x="0" y="0"/>
          <wp:positionH relativeFrom="column">
            <wp:posOffset>5467350</wp:posOffset>
          </wp:positionH>
          <wp:positionV relativeFrom="paragraph">
            <wp:posOffset>-285750</wp:posOffset>
          </wp:positionV>
          <wp:extent cx="1075055" cy="5149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5055" cy="5149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54C8"/>
    <w:multiLevelType w:val="multilevel"/>
    <w:tmpl w:val="7BF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E1A26"/>
    <w:multiLevelType w:val="hybridMultilevel"/>
    <w:tmpl w:val="9106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65828"/>
    <w:multiLevelType w:val="multilevel"/>
    <w:tmpl w:val="A11C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75303"/>
    <w:multiLevelType w:val="multilevel"/>
    <w:tmpl w:val="BA1A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7969DD"/>
    <w:multiLevelType w:val="hybridMultilevel"/>
    <w:tmpl w:val="4456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F41AB"/>
    <w:multiLevelType w:val="multilevel"/>
    <w:tmpl w:val="FEFA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D21265"/>
    <w:multiLevelType w:val="hybridMultilevel"/>
    <w:tmpl w:val="AFAE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D1963"/>
    <w:multiLevelType w:val="multilevel"/>
    <w:tmpl w:val="2BAE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732CDF"/>
    <w:multiLevelType w:val="hybridMultilevel"/>
    <w:tmpl w:val="722E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546AB"/>
    <w:multiLevelType w:val="hybridMultilevel"/>
    <w:tmpl w:val="89CCE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167B1D"/>
    <w:multiLevelType w:val="hybridMultilevel"/>
    <w:tmpl w:val="66D8C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477DE"/>
    <w:multiLevelType w:val="multilevel"/>
    <w:tmpl w:val="91EE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C07D4"/>
    <w:multiLevelType w:val="multilevel"/>
    <w:tmpl w:val="19B8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8B153A"/>
    <w:multiLevelType w:val="hybridMultilevel"/>
    <w:tmpl w:val="299CB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3642B7"/>
    <w:multiLevelType w:val="hybridMultilevel"/>
    <w:tmpl w:val="404ACA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4A2C26"/>
    <w:multiLevelType w:val="hybridMultilevel"/>
    <w:tmpl w:val="BC9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15BFB"/>
    <w:multiLevelType w:val="hybridMultilevel"/>
    <w:tmpl w:val="DB66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D32545"/>
    <w:multiLevelType w:val="hybridMultilevel"/>
    <w:tmpl w:val="0AD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40A5D"/>
    <w:multiLevelType w:val="multilevel"/>
    <w:tmpl w:val="9716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821A0F"/>
    <w:multiLevelType w:val="hybridMultilevel"/>
    <w:tmpl w:val="DAB0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6593D"/>
    <w:multiLevelType w:val="hybridMultilevel"/>
    <w:tmpl w:val="866E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044A04"/>
    <w:multiLevelType w:val="hybridMultilevel"/>
    <w:tmpl w:val="832E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C4D6B"/>
    <w:multiLevelType w:val="hybridMultilevel"/>
    <w:tmpl w:val="9A3ED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FD2D5F"/>
    <w:multiLevelType w:val="hybridMultilevel"/>
    <w:tmpl w:val="B4F2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A5A09"/>
    <w:multiLevelType w:val="hybridMultilevel"/>
    <w:tmpl w:val="B786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54468"/>
    <w:multiLevelType w:val="hybridMultilevel"/>
    <w:tmpl w:val="37A8B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6018E7"/>
    <w:multiLevelType w:val="hybridMultilevel"/>
    <w:tmpl w:val="C414C8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6205A"/>
    <w:multiLevelType w:val="hybridMultilevel"/>
    <w:tmpl w:val="9AA6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CD79C1"/>
    <w:multiLevelType w:val="hybridMultilevel"/>
    <w:tmpl w:val="4F8035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525E7"/>
    <w:multiLevelType w:val="multilevel"/>
    <w:tmpl w:val="8D84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265CA6"/>
    <w:multiLevelType w:val="hybridMultilevel"/>
    <w:tmpl w:val="78DAB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BA46B1"/>
    <w:multiLevelType w:val="hybridMultilevel"/>
    <w:tmpl w:val="DADA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351C4E"/>
    <w:multiLevelType w:val="hybridMultilevel"/>
    <w:tmpl w:val="3312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40F1A"/>
    <w:multiLevelType w:val="hybridMultilevel"/>
    <w:tmpl w:val="3572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E7C62"/>
    <w:multiLevelType w:val="multilevel"/>
    <w:tmpl w:val="1776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902A82"/>
    <w:multiLevelType w:val="multilevel"/>
    <w:tmpl w:val="FA16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4"/>
  </w:num>
  <w:num w:numId="3">
    <w:abstractNumId w:val="31"/>
  </w:num>
  <w:num w:numId="4">
    <w:abstractNumId w:val="19"/>
  </w:num>
  <w:num w:numId="5">
    <w:abstractNumId w:val="5"/>
  </w:num>
  <w:num w:numId="6">
    <w:abstractNumId w:val="13"/>
  </w:num>
  <w:num w:numId="7">
    <w:abstractNumId w:val="2"/>
  </w:num>
  <w:num w:numId="8">
    <w:abstractNumId w:val="1"/>
  </w:num>
  <w:num w:numId="9">
    <w:abstractNumId w:val="18"/>
  </w:num>
  <w:num w:numId="10">
    <w:abstractNumId w:val="23"/>
  </w:num>
  <w:num w:numId="11">
    <w:abstractNumId w:val="11"/>
  </w:num>
  <w:num w:numId="12">
    <w:abstractNumId w:val="34"/>
  </w:num>
  <w:num w:numId="13">
    <w:abstractNumId w:val="17"/>
  </w:num>
  <w:num w:numId="14">
    <w:abstractNumId w:val="7"/>
  </w:num>
  <w:num w:numId="15">
    <w:abstractNumId w:val="35"/>
  </w:num>
  <w:num w:numId="16">
    <w:abstractNumId w:val="16"/>
  </w:num>
  <w:num w:numId="17">
    <w:abstractNumId w:val="0"/>
  </w:num>
  <w:num w:numId="18">
    <w:abstractNumId w:val="33"/>
  </w:num>
  <w:num w:numId="19">
    <w:abstractNumId w:val="12"/>
  </w:num>
  <w:num w:numId="20">
    <w:abstractNumId w:val="15"/>
  </w:num>
  <w:num w:numId="21">
    <w:abstractNumId w:val="21"/>
  </w:num>
  <w:num w:numId="22">
    <w:abstractNumId w:val="20"/>
  </w:num>
  <w:num w:numId="23">
    <w:abstractNumId w:val="28"/>
  </w:num>
  <w:num w:numId="24">
    <w:abstractNumId w:val="14"/>
  </w:num>
  <w:num w:numId="25">
    <w:abstractNumId w:val="8"/>
  </w:num>
  <w:num w:numId="26">
    <w:abstractNumId w:val="4"/>
  </w:num>
  <w:num w:numId="27">
    <w:abstractNumId w:val="26"/>
  </w:num>
  <w:num w:numId="28">
    <w:abstractNumId w:val="32"/>
  </w:num>
  <w:num w:numId="29">
    <w:abstractNumId w:val="30"/>
  </w:num>
  <w:num w:numId="30">
    <w:abstractNumId w:val="22"/>
  </w:num>
  <w:num w:numId="31">
    <w:abstractNumId w:val="27"/>
  </w:num>
  <w:num w:numId="32">
    <w:abstractNumId w:val="6"/>
  </w:num>
  <w:num w:numId="33">
    <w:abstractNumId w:val="29"/>
  </w:num>
  <w:num w:numId="34">
    <w:abstractNumId w:val="25"/>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ED"/>
    <w:rsid w:val="000739D8"/>
    <w:rsid w:val="001872A5"/>
    <w:rsid w:val="001D6217"/>
    <w:rsid w:val="002740A2"/>
    <w:rsid w:val="00284601"/>
    <w:rsid w:val="003229C4"/>
    <w:rsid w:val="003668C0"/>
    <w:rsid w:val="00402202"/>
    <w:rsid w:val="00403566"/>
    <w:rsid w:val="004162AA"/>
    <w:rsid w:val="004330B6"/>
    <w:rsid w:val="005238ED"/>
    <w:rsid w:val="005A3E89"/>
    <w:rsid w:val="005B1B11"/>
    <w:rsid w:val="00677B4D"/>
    <w:rsid w:val="006A0D14"/>
    <w:rsid w:val="006E5B70"/>
    <w:rsid w:val="007C0855"/>
    <w:rsid w:val="007E61AF"/>
    <w:rsid w:val="008613D6"/>
    <w:rsid w:val="008B3266"/>
    <w:rsid w:val="00966A8E"/>
    <w:rsid w:val="009724FE"/>
    <w:rsid w:val="00A32CC2"/>
    <w:rsid w:val="00A764AC"/>
    <w:rsid w:val="00B358CA"/>
    <w:rsid w:val="00B6716F"/>
    <w:rsid w:val="00BF7569"/>
    <w:rsid w:val="00C35BC2"/>
    <w:rsid w:val="00D0586B"/>
    <w:rsid w:val="00D838B5"/>
    <w:rsid w:val="00DE7595"/>
    <w:rsid w:val="00EB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9CB8"/>
  <w15:chartTrackingRefBased/>
  <w15:docId w15:val="{1CC3DB66-CE41-4A8B-9992-DF4B805A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ED"/>
  </w:style>
  <w:style w:type="paragraph" w:styleId="Heading1">
    <w:name w:val="heading 1"/>
    <w:basedOn w:val="Normal"/>
    <w:next w:val="Normal"/>
    <w:link w:val="Heading1Char"/>
    <w:uiPriority w:val="9"/>
    <w:qFormat/>
    <w:rsid w:val="00DE75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E7595"/>
    <w:pPr>
      <w:keepLines w:val="0"/>
      <w:widowControl w:val="0"/>
      <w:pBdr>
        <w:bottom w:val="single" w:sz="4" w:space="1" w:color="006587"/>
      </w:pBdr>
      <w:autoSpaceDE w:val="0"/>
      <w:autoSpaceDN w:val="0"/>
      <w:adjustRightInd w:val="0"/>
      <w:spacing w:before="180" w:after="60" w:line="240" w:lineRule="auto"/>
      <w:contextualSpacing/>
      <w:jc w:val="both"/>
      <w:outlineLvl w:val="1"/>
    </w:pPr>
    <w:rPr>
      <w:rFonts w:ascii="Arial" w:eastAsiaTheme="minorHAnsi" w:hAnsi="Arial" w:cs="Arial"/>
      <w:b/>
      <w:bCs/>
      <w:color w:val="006587"/>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8ED"/>
    <w:pPr>
      <w:spacing w:after="0" w:line="240" w:lineRule="auto"/>
      <w:ind w:left="720"/>
    </w:pPr>
    <w:rPr>
      <w:rFonts w:ascii="Calibri" w:eastAsia="Times New Roman" w:hAnsi="Calibri" w:cs="Times New Roman"/>
    </w:rPr>
  </w:style>
  <w:style w:type="paragraph" w:customStyle="1" w:styleId="paragraph">
    <w:name w:val="paragraph"/>
    <w:basedOn w:val="Normal"/>
    <w:rsid w:val="00A32C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2CC2"/>
  </w:style>
  <w:style w:type="character" w:customStyle="1" w:styleId="eop">
    <w:name w:val="eop"/>
    <w:basedOn w:val="DefaultParagraphFont"/>
    <w:rsid w:val="00A32CC2"/>
  </w:style>
  <w:style w:type="paragraph" w:styleId="Header">
    <w:name w:val="header"/>
    <w:basedOn w:val="Normal"/>
    <w:link w:val="HeaderChar"/>
    <w:uiPriority w:val="99"/>
    <w:unhideWhenUsed/>
    <w:rsid w:val="00C35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C2"/>
  </w:style>
  <w:style w:type="paragraph" w:styleId="Footer">
    <w:name w:val="footer"/>
    <w:basedOn w:val="Normal"/>
    <w:link w:val="FooterChar"/>
    <w:uiPriority w:val="99"/>
    <w:unhideWhenUsed/>
    <w:rsid w:val="00C35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C2"/>
  </w:style>
  <w:style w:type="character" w:customStyle="1" w:styleId="Heading2Char">
    <w:name w:val="Heading 2 Char"/>
    <w:basedOn w:val="DefaultParagraphFont"/>
    <w:link w:val="Heading2"/>
    <w:rsid w:val="00DE7595"/>
    <w:rPr>
      <w:rFonts w:ascii="Arial" w:hAnsi="Arial" w:cs="Arial"/>
      <w:b/>
      <w:bCs/>
      <w:color w:val="006587"/>
      <w:kern w:val="32"/>
      <w:sz w:val="28"/>
      <w:szCs w:val="32"/>
    </w:rPr>
  </w:style>
  <w:style w:type="character" w:customStyle="1" w:styleId="Heading1Char">
    <w:name w:val="Heading 1 Char"/>
    <w:basedOn w:val="DefaultParagraphFont"/>
    <w:link w:val="Heading1"/>
    <w:uiPriority w:val="9"/>
    <w:rsid w:val="00DE759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466">
      <w:bodyDiv w:val="1"/>
      <w:marLeft w:val="0"/>
      <w:marRight w:val="0"/>
      <w:marTop w:val="0"/>
      <w:marBottom w:val="0"/>
      <w:divBdr>
        <w:top w:val="none" w:sz="0" w:space="0" w:color="auto"/>
        <w:left w:val="none" w:sz="0" w:space="0" w:color="auto"/>
        <w:bottom w:val="none" w:sz="0" w:space="0" w:color="auto"/>
        <w:right w:val="none" w:sz="0" w:space="0" w:color="auto"/>
      </w:divBdr>
    </w:div>
    <w:div w:id="725759324">
      <w:bodyDiv w:val="1"/>
      <w:marLeft w:val="0"/>
      <w:marRight w:val="0"/>
      <w:marTop w:val="0"/>
      <w:marBottom w:val="0"/>
      <w:divBdr>
        <w:top w:val="none" w:sz="0" w:space="0" w:color="auto"/>
        <w:left w:val="none" w:sz="0" w:space="0" w:color="auto"/>
        <w:bottom w:val="none" w:sz="0" w:space="0" w:color="auto"/>
        <w:right w:val="none" w:sz="0" w:space="0" w:color="auto"/>
      </w:divBdr>
    </w:div>
    <w:div w:id="757487063">
      <w:bodyDiv w:val="1"/>
      <w:marLeft w:val="0"/>
      <w:marRight w:val="0"/>
      <w:marTop w:val="0"/>
      <w:marBottom w:val="0"/>
      <w:divBdr>
        <w:top w:val="none" w:sz="0" w:space="0" w:color="auto"/>
        <w:left w:val="none" w:sz="0" w:space="0" w:color="auto"/>
        <w:bottom w:val="none" w:sz="0" w:space="0" w:color="auto"/>
        <w:right w:val="none" w:sz="0" w:space="0" w:color="auto"/>
      </w:divBdr>
    </w:div>
    <w:div w:id="966857362">
      <w:bodyDiv w:val="1"/>
      <w:marLeft w:val="0"/>
      <w:marRight w:val="0"/>
      <w:marTop w:val="0"/>
      <w:marBottom w:val="0"/>
      <w:divBdr>
        <w:top w:val="none" w:sz="0" w:space="0" w:color="auto"/>
        <w:left w:val="none" w:sz="0" w:space="0" w:color="auto"/>
        <w:bottom w:val="none" w:sz="0" w:space="0" w:color="auto"/>
        <w:right w:val="none" w:sz="0" w:space="0" w:color="auto"/>
      </w:divBdr>
    </w:div>
    <w:div w:id="985403163">
      <w:bodyDiv w:val="1"/>
      <w:marLeft w:val="0"/>
      <w:marRight w:val="0"/>
      <w:marTop w:val="0"/>
      <w:marBottom w:val="0"/>
      <w:divBdr>
        <w:top w:val="none" w:sz="0" w:space="0" w:color="auto"/>
        <w:left w:val="none" w:sz="0" w:space="0" w:color="auto"/>
        <w:bottom w:val="none" w:sz="0" w:space="0" w:color="auto"/>
        <w:right w:val="none" w:sz="0" w:space="0" w:color="auto"/>
      </w:divBdr>
    </w:div>
    <w:div w:id="1092043200">
      <w:bodyDiv w:val="1"/>
      <w:marLeft w:val="0"/>
      <w:marRight w:val="0"/>
      <w:marTop w:val="0"/>
      <w:marBottom w:val="0"/>
      <w:divBdr>
        <w:top w:val="none" w:sz="0" w:space="0" w:color="auto"/>
        <w:left w:val="none" w:sz="0" w:space="0" w:color="auto"/>
        <w:bottom w:val="none" w:sz="0" w:space="0" w:color="auto"/>
        <w:right w:val="none" w:sz="0" w:space="0" w:color="auto"/>
      </w:divBdr>
      <w:divsChild>
        <w:div w:id="1406486240">
          <w:marLeft w:val="0"/>
          <w:marRight w:val="0"/>
          <w:marTop w:val="0"/>
          <w:marBottom w:val="0"/>
          <w:divBdr>
            <w:top w:val="none" w:sz="0" w:space="0" w:color="auto"/>
            <w:left w:val="none" w:sz="0" w:space="0" w:color="auto"/>
            <w:bottom w:val="none" w:sz="0" w:space="0" w:color="auto"/>
            <w:right w:val="none" w:sz="0" w:space="0" w:color="auto"/>
          </w:divBdr>
          <w:divsChild>
            <w:div w:id="946426407">
              <w:marLeft w:val="0"/>
              <w:marRight w:val="0"/>
              <w:marTop w:val="0"/>
              <w:marBottom w:val="0"/>
              <w:divBdr>
                <w:top w:val="none" w:sz="0" w:space="0" w:color="auto"/>
                <w:left w:val="none" w:sz="0" w:space="0" w:color="auto"/>
                <w:bottom w:val="none" w:sz="0" w:space="0" w:color="auto"/>
                <w:right w:val="none" w:sz="0" w:space="0" w:color="auto"/>
              </w:divBdr>
            </w:div>
          </w:divsChild>
        </w:div>
        <w:div w:id="640382352">
          <w:marLeft w:val="0"/>
          <w:marRight w:val="0"/>
          <w:marTop w:val="0"/>
          <w:marBottom w:val="0"/>
          <w:divBdr>
            <w:top w:val="none" w:sz="0" w:space="0" w:color="auto"/>
            <w:left w:val="none" w:sz="0" w:space="0" w:color="auto"/>
            <w:bottom w:val="none" w:sz="0" w:space="0" w:color="auto"/>
            <w:right w:val="none" w:sz="0" w:space="0" w:color="auto"/>
          </w:divBdr>
        </w:div>
      </w:divsChild>
    </w:div>
    <w:div w:id="1202665574">
      <w:bodyDiv w:val="1"/>
      <w:marLeft w:val="0"/>
      <w:marRight w:val="0"/>
      <w:marTop w:val="0"/>
      <w:marBottom w:val="0"/>
      <w:divBdr>
        <w:top w:val="none" w:sz="0" w:space="0" w:color="auto"/>
        <w:left w:val="none" w:sz="0" w:space="0" w:color="auto"/>
        <w:bottom w:val="none" w:sz="0" w:space="0" w:color="auto"/>
        <w:right w:val="none" w:sz="0" w:space="0" w:color="auto"/>
      </w:divBdr>
    </w:div>
    <w:div w:id="1473712453">
      <w:bodyDiv w:val="1"/>
      <w:marLeft w:val="0"/>
      <w:marRight w:val="0"/>
      <w:marTop w:val="0"/>
      <w:marBottom w:val="0"/>
      <w:divBdr>
        <w:top w:val="none" w:sz="0" w:space="0" w:color="auto"/>
        <w:left w:val="none" w:sz="0" w:space="0" w:color="auto"/>
        <w:bottom w:val="none" w:sz="0" w:space="0" w:color="auto"/>
        <w:right w:val="none" w:sz="0" w:space="0" w:color="auto"/>
      </w:divBdr>
    </w:div>
    <w:div w:id="1751153998">
      <w:bodyDiv w:val="1"/>
      <w:marLeft w:val="0"/>
      <w:marRight w:val="0"/>
      <w:marTop w:val="0"/>
      <w:marBottom w:val="0"/>
      <w:divBdr>
        <w:top w:val="none" w:sz="0" w:space="0" w:color="auto"/>
        <w:left w:val="none" w:sz="0" w:space="0" w:color="auto"/>
        <w:bottom w:val="none" w:sz="0" w:space="0" w:color="auto"/>
        <w:right w:val="none" w:sz="0" w:space="0" w:color="auto"/>
      </w:divBdr>
    </w:div>
    <w:div w:id="1940211156">
      <w:bodyDiv w:val="1"/>
      <w:marLeft w:val="0"/>
      <w:marRight w:val="0"/>
      <w:marTop w:val="0"/>
      <w:marBottom w:val="0"/>
      <w:divBdr>
        <w:top w:val="none" w:sz="0" w:space="0" w:color="auto"/>
        <w:left w:val="none" w:sz="0" w:space="0" w:color="auto"/>
        <w:bottom w:val="none" w:sz="0" w:space="0" w:color="auto"/>
        <w:right w:val="none" w:sz="0" w:space="0" w:color="auto"/>
      </w:divBdr>
    </w:div>
    <w:div w:id="21246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LaToya</dc:creator>
  <cp:keywords/>
  <dc:description/>
  <cp:lastModifiedBy>Usmiller, Richard</cp:lastModifiedBy>
  <cp:revision>3</cp:revision>
  <dcterms:created xsi:type="dcterms:W3CDTF">2020-10-06T17:15:00Z</dcterms:created>
  <dcterms:modified xsi:type="dcterms:W3CDTF">2020-10-06T17:15:00Z</dcterms:modified>
</cp:coreProperties>
</file>